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default" w:ascii="黑体" w:hAnsi="黑体" w:eastAsia="黑体" w:cs="Times New Roman"/>
          <w:kern w:val="2"/>
          <w:sz w:val="32"/>
          <w:szCs w:val="32"/>
          <w:lang w:val="en-US" w:eastAsia="zh-CN" w:bidi="ar-SA"/>
        </w:rPr>
      </w:pPr>
      <w:r>
        <w:rPr>
          <w:rFonts w:hint="eastAsia" w:ascii="黑体" w:hAnsi="黑体" w:eastAsia="黑体" w:cs="Times New Roman"/>
          <w:kern w:val="2"/>
          <w:sz w:val="32"/>
          <w:szCs w:val="32"/>
          <w:lang w:val="en-US" w:eastAsia="zh-CN" w:bidi="ar-SA"/>
        </w:rPr>
        <w:t>附件1：</w:t>
      </w:r>
    </w:p>
    <w:p>
      <w:pPr>
        <w:spacing w:line="579" w:lineRule="exact"/>
        <w:ind w:firstLine="630"/>
        <w:rPr>
          <w:rFonts w:ascii="黑体" w:hAnsi="黑体" w:eastAsia="黑体"/>
          <w:szCs w:val="32"/>
        </w:rPr>
      </w:pPr>
      <w:r>
        <w:rPr>
          <w:rFonts w:hint="eastAsia" w:ascii="黑体" w:hAnsi="黑体" w:eastAsia="黑体"/>
          <w:szCs w:val="32"/>
        </w:rPr>
        <w:t>一、采购需求基本情况</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szCs w:val="32"/>
        </w:rPr>
      </w:pPr>
      <w:r>
        <w:rPr>
          <w:rFonts w:hint="eastAsia" w:ascii="仿宋_GB2312" w:hAnsi="仿宋_GB2312" w:eastAsia="仿宋_GB2312" w:cs="仿宋_GB2312"/>
          <w:szCs w:val="32"/>
        </w:rPr>
        <w:t>2024年医院已安装和拟新装摄像头共计718个，视频数据不断产生，存储容量随之翻倍，导致现有储存设备容量和监控平台监控点授权不能满足当前使用需求，为满足安全管理工作所需，准备增加3台视频存储服务器、1台综合安防管理平台及解码器，同时将存储服务器迁移至医技楼R层楼宇控制中心统一管理。</w:t>
      </w:r>
    </w:p>
    <w:p>
      <w:pPr>
        <w:spacing w:line="579" w:lineRule="exact"/>
        <w:ind w:firstLine="630"/>
        <w:rPr>
          <w:rFonts w:ascii="黑体" w:hAnsi="黑体" w:eastAsia="黑体"/>
          <w:szCs w:val="32"/>
        </w:rPr>
      </w:pPr>
      <w:r>
        <w:rPr>
          <w:rFonts w:hint="eastAsia" w:ascii="黑体" w:hAnsi="黑体" w:eastAsia="黑体"/>
          <w:szCs w:val="32"/>
        </w:rPr>
        <w:t>二、采购预算</w:t>
      </w:r>
    </w:p>
    <w:p>
      <w:pPr>
        <w:spacing w:line="579" w:lineRule="exact"/>
        <w:rPr>
          <w:rFonts w:hint="eastAsia" w:ascii="仿宋_GB2312" w:hAnsi="仿宋_GB2312" w:eastAsia="仿宋_GB2312" w:cs="仿宋_GB2312"/>
          <w:szCs w:val="32"/>
        </w:rPr>
      </w:pPr>
      <w:r>
        <w:rPr>
          <w:rFonts w:hint="eastAsia" w:ascii="仿宋_GB2312" w:hAnsi="仿宋"/>
          <w:color w:val="000000"/>
          <w:szCs w:val="32"/>
        </w:rPr>
        <w:t xml:space="preserve">   </w:t>
      </w:r>
      <w:r>
        <w:rPr>
          <w:rFonts w:hint="eastAsia" w:ascii="仿宋_GB2312" w:hAnsi="仿宋_GB2312" w:eastAsia="仿宋_GB2312" w:cs="仿宋_GB2312"/>
          <w:szCs w:val="32"/>
        </w:rPr>
        <w:t>项目费用共计约600000元，由本单位财物部门负责结算。</w:t>
      </w:r>
    </w:p>
    <w:p>
      <w:pPr>
        <w:spacing w:line="579" w:lineRule="exact"/>
        <w:ind w:firstLine="640" w:firstLineChars="200"/>
        <w:rPr>
          <w:rFonts w:eastAsia="黑体"/>
          <w:szCs w:val="32"/>
        </w:rPr>
      </w:pPr>
      <w:r>
        <w:rPr>
          <w:rFonts w:hint="eastAsia" w:hAnsi="黑体" w:eastAsia="黑体"/>
          <w:szCs w:val="32"/>
          <w:lang w:eastAsia="zh-CN"/>
        </w:rPr>
        <w:t>三</w:t>
      </w:r>
      <w:r>
        <w:rPr>
          <w:rFonts w:hAnsi="黑体" w:eastAsia="黑体"/>
          <w:szCs w:val="32"/>
        </w:rPr>
        <w:t>、货款及运杂费结算方式</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中标方中标价即为合同价，合同价包含货款、利润、税金、装卸载费、运杂费、安装费、人员培训费、售后服务费</w:t>
      </w:r>
      <w:r>
        <w:rPr>
          <w:rFonts w:hint="eastAsia" w:ascii="仿宋_GB2312" w:hAnsi="仿宋_GB2312" w:eastAsia="仿宋_GB2312" w:cs="仿宋_GB2312"/>
          <w:szCs w:val="32"/>
          <w:lang w:eastAsia="zh-CN"/>
        </w:rPr>
        <w:t>、搬迁费</w:t>
      </w:r>
      <w:r>
        <w:rPr>
          <w:rFonts w:hint="eastAsia" w:ascii="仿宋_GB2312" w:hAnsi="仿宋_GB2312" w:eastAsia="仿宋_GB2312" w:cs="仿宋_GB2312"/>
          <w:szCs w:val="32"/>
        </w:rPr>
        <w:t>及相应的不可预测风险等一切费用。本项目不付预付款，待所有货物到货验收合格、安装调试完成后一次性支付合同价的95%，剩余5%作为质量保证金，待质保期满后一次性无息退换。</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若后期军队审计部门、军队采购管理部门、纪检监察部门等职能部门抽查，提出价格虚高等问题，乙方需无条件配合甲方进行调查，积极提供相关审价资料，若最终审价结果低于合同价，乙方需无条件退还虚高款项。如最终审价结果高于合同价，按合同价进行结算。</w:t>
      </w:r>
    </w:p>
    <w:p>
      <w:pPr>
        <w:numPr>
          <w:ilvl w:val="0"/>
          <w:numId w:val="1"/>
        </w:numPr>
        <w:spacing w:line="579" w:lineRule="exact"/>
        <w:ind w:firstLine="640" w:firstLineChars="200"/>
        <w:rPr>
          <w:rFonts w:hAnsi="黑体" w:eastAsia="黑体"/>
          <w:szCs w:val="32"/>
          <w:highlight w:val="none"/>
        </w:rPr>
      </w:pPr>
      <w:r>
        <w:rPr>
          <w:rFonts w:hAnsi="黑体" w:eastAsia="黑体"/>
          <w:szCs w:val="32"/>
          <w:highlight w:val="none"/>
        </w:rPr>
        <w:t>供应商专业资质条件及理由</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投标人具有安全技术防范工程设计施工三级或三级以上资质证书。</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理由：本项目为视频监控系统，存储大，前端摄像机多，专业性强，需有资质的供应商参与，确保中标后有能力实施。</w:t>
      </w:r>
    </w:p>
    <w:p>
      <w:pPr>
        <w:spacing w:line="579" w:lineRule="exact"/>
        <w:ind w:firstLine="640" w:firstLineChars="200"/>
        <w:rPr>
          <w:rFonts w:hAnsi="黑体" w:eastAsia="黑体"/>
          <w:szCs w:val="32"/>
          <w:highlight w:val="none"/>
        </w:rPr>
      </w:pPr>
      <w:r>
        <w:rPr>
          <w:rFonts w:hint="eastAsia" w:hAnsi="黑体" w:eastAsia="黑体"/>
          <w:szCs w:val="32"/>
          <w:highlight w:val="none"/>
          <w:lang w:eastAsia="zh-CN"/>
        </w:rPr>
        <w:t>五</w:t>
      </w:r>
      <w:r>
        <w:rPr>
          <w:rFonts w:hAnsi="黑体" w:eastAsia="黑体"/>
          <w:szCs w:val="32"/>
          <w:highlight w:val="none"/>
        </w:rPr>
        <w:t>、</w:t>
      </w:r>
      <w:r>
        <w:rPr>
          <w:rFonts w:hint="eastAsia" w:hAnsi="黑体" w:eastAsia="黑体"/>
          <w:szCs w:val="32"/>
          <w:highlight w:val="none"/>
        </w:rPr>
        <w:t>交货期限</w:t>
      </w:r>
      <w:r>
        <w:rPr>
          <w:rFonts w:hAnsi="黑体" w:eastAsia="黑体"/>
          <w:szCs w:val="32"/>
          <w:highlight w:val="none"/>
        </w:rPr>
        <w:t>及交货地点</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交货期限：自合同签订之日起90日内完成供货、安装、调试。</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交货地点：甘肃兰州。</w:t>
      </w:r>
    </w:p>
    <w:p>
      <w:pPr>
        <w:spacing w:line="579" w:lineRule="exact"/>
        <w:ind w:firstLine="640" w:firstLineChars="200"/>
        <w:rPr>
          <w:rFonts w:hAnsi="黑体" w:eastAsia="黑体"/>
          <w:szCs w:val="32"/>
        </w:rPr>
      </w:pPr>
      <w:r>
        <w:rPr>
          <w:rFonts w:hint="eastAsia" w:hAnsi="黑体" w:eastAsia="黑体"/>
          <w:szCs w:val="32"/>
          <w:lang w:eastAsia="zh-CN"/>
        </w:rPr>
        <w:t>六</w:t>
      </w:r>
      <w:r>
        <w:rPr>
          <w:rFonts w:hint="eastAsia" w:hAnsi="黑体" w:eastAsia="黑体"/>
          <w:szCs w:val="32"/>
        </w:rPr>
        <w:t>、项目要求</w:t>
      </w:r>
    </w:p>
    <w:p>
      <w:pPr>
        <w:tabs>
          <w:tab w:val="left" w:pos="840"/>
          <w:tab w:val="left" w:pos="1080"/>
        </w:tabs>
        <w:autoSpaceDE w:val="0"/>
        <w:autoSpaceDN w:val="0"/>
        <w:adjustRightInd w:val="0"/>
        <w:spacing w:line="579" w:lineRule="exact"/>
        <w:ind w:firstLine="643" w:firstLineChars="200"/>
        <w:outlineLvl w:val="3"/>
        <w:rPr>
          <w:rFonts w:hint="eastAsia" w:ascii="仿宋_GB2312" w:hAnsi="仿宋_GB2312" w:eastAsia="仿宋_GB2312" w:cs="仿宋_GB2312"/>
          <w:b/>
          <w:color w:val="000000"/>
          <w:szCs w:val="32"/>
        </w:rPr>
      </w:pPr>
      <w:r>
        <w:rPr>
          <w:rFonts w:hint="eastAsia" w:ascii="仿宋_GB2312" w:hAnsi="仿宋_GB2312" w:eastAsia="仿宋_GB2312" w:cs="仿宋_GB2312"/>
          <w:b/>
          <w:color w:val="000000"/>
          <w:szCs w:val="32"/>
        </w:rPr>
        <w:t>（一）总体要求</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扩容所需存储设备要无缝接入现有的监控平台，交货时要求中标方就所投产品提供产品说明书，我方有权核实招标要求的产品功能，有权要求中标方对产品的合法供货渠道进行说明。经核实，如中标方所提供产品与招、投标文件中的产品功能不一致，或提供非法渠道的商品，即视为欺诈，为维护我方合法权益，中标方要承担商品价值双倍的赔偿；同时，依据现行的国家法律法规追究其他责任，并连带追究所投产品制造商的责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投标人所投产品技术参数完全响应或优于招标文件要求，带★技术参数为关键技术参数，带▲技术参数为重要技术参数，其它为普通参数。带“★”号条款均为实质性响应指标要求，必须全部响应。若有一项带“★”条款未响应或不满足，均视为非实质性响应招标文件，按无效投标处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中标人须提供现场专业技术咨询、安装、调试、初验、终验和试运行保障及维修保养服务（提供安装、测试所用的测试设备、工具等），并按照招标方要求进行产品客户化。在投标文件中提交安装、调试、验收实施计划书，在安装调试验收无误后，提交安装实施、调试、检测报告、验收报告、技术资料、系统技术说明书、使用说明书、维护手册等。</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1.★硬件设备均为国产一线主流产品。</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szCs w:val="32"/>
        </w:rPr>
        <w:t>2.投标方必须提供系统完整的实施方案。</w:t>
      </w:r>
    </w:p>
    <w:p>
      <w:pPr>
        <w:spacing w:line="560" w:lineRule="exact"/>
        <w:ind w:firstLine="643" w:firstLineChars="200"/>
        <w:rPr>
          <w:rFonts w:hint="eastAsia" w:ascii="仿宋_GB2312" w:hAnsi="仿宋_GB2312" w:eastAsia="仿宋_GB2312" w:cs="仿宋_GB2312"/>
          <w:kern w:val="0"/>
          <w:szCs w:val="32"/>
          <w:highlight w:val="none"/>
        </w:rPr>
      </w:pPr>
      <w:r>
        <w:rPr>
          <w:rFonts w:hint="eastAsia" w:ascii="仿宋_GB2312" w:hAnsi="仿宋_GB2312" w:eastAsia="仿宋_GB2312" w:cs="仿宋_GB2312"/>
          <w:b/>
          <w:kern w:val="0"/>
          <w:szCs w:val="32"/>
          <w:highlight w:val="none"/>
          <w:lang w:val="zh-CN"/>
        </w:rPr>
        <w:t>（二）监控</w:t>
      </w:r>
      <w:r>
        <w:rPr>
          <w:rFonts w:hint="eastAsia" w:ascii="仿宋_GB2312" w:hAnsi="仿宋_GB2312" w:eastAsia="仿宋_GB2312" w:cs="仿宋_GB2312"/>
          <w:b/>
          <w:kern w:val="0"/>
          <w:szCs w:val="32"/>
          <w:highlight w:val="none"/>
        </w:rPr>
        <w:t>平台建设原则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平台系统建设坚持“保障必需、不断完善、实用高效、安全可靠”的原则，前端逐步增加、全面规划，后端一步到位、持续发展。</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b/>
          <w:bCs/>
          <w:szCs w:val="32"/>
        </w:rPr>
        <w:t>先进性：</w:t>
      </w:r>
      <w:r>
        <w:rPr>
          <w:rFonts w:hint="eastAsia" w:ascii="仿宋_GB2312" w:hAnsi="仿宋_GB2312" w:eastAsia="仿宋_GB2312" w:cs="仿宋_GB2312"/>
          <w:szCs w:val="32"/>
        </w:rPr>
        <w:t>在满足可靠性和实用性的前提下，尽可能可持续发展，整个平台在建成后的六年保持先进，平台所采用的设备与技术能适应以后发展，并能够方便地升级。将成为一个先进、适应未来发展、可靠性高、兼容性好、网络扩展简便、连接数据处理能力强、系统运行操纵简便的安防系统。</w:t>
      </w:r>
    </w:p>
    <w:p>
      <w:pPr>
        <w:spacing w:line="579" w:lineRule="exact"/>
        <w:ind w:firstLine="643" w:firstLineChars="20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b/>
          <w:color w:val="000000"/>
          <w:szCs w:val="32"/>
          <w:highlight w:val="none"/>
        </w:rPr>
        <w:t>可靠性：</w:t>
      </w:r>
      <w:r>
        <w:rPr>
          <w:rFonts w:hint="eastAsia" w:ascii="仿宋_GB2312" w:hAnsi="仿宋_GB2312" w:eastAsia="仿宋_GB2312" w:cs="仿宋_GB2312"/>
          <w:color w:val="000000"/>
          <w:szCs w:val="32"/>
          <w:highlight w:val="none"/>
        </w:rPr>
        <w:t>在考虑系统先进性同时，更要确保系统的稳定性和通用性，设备选型基于模块化的方式，充分考虑系统的升级和扩容需求，杜绝采用未成熟的实验室产品。系统设计采用网络与服务相结合的方式，既有普通监控，又有数据分析，保证系统可靠稳定和便于集成、技术整合；</w:t>
      </w:r>
    </w:p>
    <w:p>
      <w:pPr>
        <w:spacing w:line="579" w:lineRule="exact"/>
        <w:ind w:firstLine="643" w:firstLineChars="20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b/>
          <w:color w:val="000000"/>
          <w:szCs w:val="32"/>
          <w:highlight w:val="none"/>
        </w:rPr>
        <w:t>实用性：</w:t>
      </w:r>
      <w:r>
        <w:rPr>
          <w:rFonts w:hint="eastAsia" w:ascii="仿宋_GB2312" w:hAnsi="仿宋_GB2312" w:eastAsia="仿宋_GB2312" w:cs="仿宋_GB2312"/>
          <w:color w:val="000000"/>
          <w:szCs w:val="32"/>
          <w:highlight w:val="none"/>
        </w:rPr>
        <w:t>系统符合项目实际需要，应实现容易、操作方便。从用户角度出发，充分利用现有资源，尽量降低系统成本，使系统具有较高的性能价格比；</w:t>
      </w:r>
    </w:p>
    <w:p>
      <w:pPr>
        <w:spacing w:line="579" w:lineRule="exact"/>
        <w:ind w:firstLine="643" w:firstLineChars="20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b/>
          <w:color w:val="000000"/>
          <w:szCs w:val="32"/>
          <w:highlight w:val="none"/>
        </w:rPr>
        <w:t>开放性：</w:t>
      </w:r>
      <w:r>
        <w:rPr>
          <w:rFonts w:hint="eastAsia" w:ascii="仿宋_GB2312" w:hAnsi="仿宋_GB2312" w:eastAsia="仿宋_GB2312" w:cs="仿宋_GB2312"/>
          <w:color w:val="000000"/>
          <w:szCs w:val="32"/>
          <w:highlight w:val="none"/>
        </w:rPr>
        <w:t>平台提供符合国际标准的软件、硬件、通信、网络、操作系统和数据库管理系统等诸方面的接口与工具，使系统具备良好的灵活性、兼容性、扩展性和可移植性。整个平台是一个开放系统，能兼容不同厂商的产品，并能支持二次开发。</w:t>
      </w:r>
    </w:p>
    <w:p>
      <w:pPr>
        <w:spacing w:line="560" w:lineRule="exact"/>
        <w:ind w:left="11" w:firstLine="643" w:firstLineChars="200"/>
        <w:rPr>
          <w:rFonts w:hint="eastAsia" w:ascii="仿宋_GB2312" w:hAnsi="仿宋_GB2312" w:eastAsia="仿宋_GB2312" w:cs="仿宋_GB2312"/>
          <w:kern w:val="0"/>
          <w:szCs w:val="32"/>
          <w:highlight w:val="none"/>
        </w:rPr>
      </w:pPr>
      <w:r>
        <w:rPr>
          <w:rFonts w:hint="eastAsia" w:ascii="仿宋_GB2312" w:hAnsi="仿宋_GB2312" w:eastAsia="仿宋_GB2312" w:cs="仿宋_GB2312"/>
          <w:b/>
          <w:kern w:val="0"/>
          <w:szCs w:val="32"/>
          <w:highlight w:val="none"/>
          <w:lang w:val="zh-CN"/>
        </w:rPr>
        <w:t>（三）</w:t>
      </w:r>
      <w:r>
        <w:rPr>
          <w:rFonts w:hint="eastAsia" w:ascii="仿宋_GB2312" w:hAnsi="仿宋_GB2312" w:eastAsia="仿宋_GB2312" w:cs="仿宋_GB2312"/>
          <w:b/>
          <w:kern w:val="0"/>
          <w:szCs w:val="32"/>
          <w:highlight w:val="none"/>
        </w:rPr>
        <w:t xml:space="preserve">硬件设备安装实施要求 </w:t>
      </w:r>
    </w:p>
    <w:p>
      <w:pPr>
        <w:spacing w:line="579" w:lineRule="exact"/>
        <w:ind w:firstLine="640" w:firstLineChars="20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color w:val="000000"/>
          <w:szCs w:val="32"/>
          <w:highlight w:val="none"/>
        </w:rPr>
        <w:t>1.安装要求：供应商须按合同约定、招标文件规定、中标人投标文件承诺将设备送达指定地点，并保证按合同要求按时完成设备安装、调试、启动、运行等工作；新设备安装过程中涉及管道、线路等各种问题均由中标供应商自行解决；新布线路中光纤、网线、电源线均须进弱电桥架，没有桥架的需穿管布线；室内走线需安装线槽，做到横平竖直。</w:t>
      </w:r>
    </w:p>
    <w:p>
      <w:pPr>
        <w:spacing w:line="579" w:lineRule="exact"/>
        <w:ind w:firstLine="640" w:firstLineChars="20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color w:val="000000"/>
          <w:szCs w:val="32"/>
          <w:highlight w:val="none"/>
        </w:rPr>
        <w:t>2.调试要求：中标供应商应按照合同要求测试所有硬件、软件，保证功能满足招标方运行要求，负责合同中所有设备的现场安装管理、现场验收测试。</w:t>
      </w:r>
    </w:p>
    <w:p>
      <w:pPr>
        <w:spacing w:line="579" w:lineRule="exact"/>
        <w:ind w:firstLine="640" w:firstLineChars="20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color w:val="000000"/>
          <w:szCs w:val="32"/>
          <w:highlight w:val="none"/>
        </w:rPr>
        <w:t>3.要求中标供应商按照采购方要求将科技办公楼监控设备搬迁至医技综合</w:t>
      </w:r>
      <w:r>
        <w:rPr>
          <w:rFonts w:hint="eastAsia" w:ascii="仿宋_GB2312" w:hAnsi="仿宋_GB2312" w:eastAsia="仿宋_GB2312" w:cs="仿宋_GB2312"/>
          <w:color w:val="000000"/>
          <w:szCs w:val="32"/>
          <w:highlight w:val="none"/>
          <w:lang w:eastAsia="zh-CN"/>
        </w:rPr>
        <w:t>楼</w:t>
      </w:r>
      <w:r>
        <w:rPr>
          <w:rFonts w:hint="eastAsia" w:ascii="仿宋_GB2312" w:hAnsi="仿宋_GB2312" w:eastAsia="仿宋_GB2312" w:cs="仿宋_GB2312"/>
          <w:color w:val="000000"/>
          <w:szCs w:val="32"/>
          <w:highlight w:val="none"/>
        </w:rPr>
        <w:t>R层楼宇控制中心机房，包含原存储设备、交换机、摄像头等相关设备的搬迁及上架安装、调试，所有费用由中标商承担；中标商在对该项目实施时注意室内吊顶、墙面、弱电间等成品设备保护，若由中标商施工人员导致设备损坏及导致严重后果的，费用由中标商承担并对其进行一定的处罚。</w:t>
      </w:r>
    </w:p>
    <w:p>
      <w:pPr>
        <w:spacing w:line="560" w:lineRule="exact"/>
        <w:ind w:left="11" w:firstLine="643" w:firstLineChars="200"/>
        <w:rPr>
          <w:rFonts w:hint="eastAsia" w:ascii="仿宋_GB2312" w:hAnsi="仿宋_GB2312" w:eastAsia="仿宋_GB2312" w:cs="仿宋_GB2312"/>
          <w:kern w:val="0"/>
          <w:szCs w:val="32"/>
          <w:highlight w:val="none"/>
        </w:rPr>
      </w:pPr>
      <w:r>
        <w:rPr>
          <w:rFonts w:hint="eastAsia" w:ascii="仿宋_GB2312" w:hAnsi="仿宋_GB2312" w:eastAsia="仿宋_GB2312" w:cs="仿宋_GB2312"/>
          <w:b/>
          <w:kern w:val="0"/>
          <w:szCs w:val="32"/>
          <w:highlight w:val="none"/>
          <w:lang w:val="zh-CN"/>
        </w:rPr>
        <w:t>（四）</w:t>
      </w:r>
      <w:r>
        <w:rPr>
          <w:rFonts w:hint="eastAsia" w:ascii="仿宋_GB2312" w:hAnsi="仿宋_GB2312" w:eastAsia="仿宋_GB2312" w:cs="仿宋_GB2312"/>
          <w:b/>
          <w:kern w:val="0"/>
          <w:szCs w:val="32"/>
          <w:highlight w:val="none"/>
        </w:rPr>
        <w:t>验收要求</w:t>
      </w:r>
    </w:p>
    <w:p>
      <w:pPr>
        <w:spacing w:line="579" w:lineRule="exact"/>
        <w:ind w:firstLine="640" w:firstLineChars="20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color w:val="000000"/>
          <w:szCs w:val="32"/>
          <w:highlight w:val="none"/>
        </w:rPr>
        <w:t>1.验收依据</w:t>
      </w:r>
    </w:p>
    <w:p>
      <w:pPr>
        <w:spacing w:line="579" w:lineRule="exact"/>
        <w:ind w:firstLine="640" w:firstLineChars="20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color w:val="000000"/>
          <w:szCs w:val="32"/>
          <w:highlight w:val="none"/>
        </w:rPr>
        <w:t>招标方需求部门按实际情况成立验收工作小组，依据招标文件规定、中标人投标文件承诺及国家有关规定组织验收工作。</w:t>
      </w:r>
    </w:p>
    <w:p>
      <w:pPr>
        <w:spacing w:line="579" w:lineRule="exact"/>
        <w:ind w:firstLine="640" w:firstLineChars="20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color w:val="000000"/>
          <w:szCs w:val="32"/>
          <w:highlight w:val="none"/>
        </w:rPr>
        <w:t>2.验收程序步骤</w:t>
      </w:r>
    </w:p>
    <w:p>
      <w:pPr>
        <w:spacing w:line="579" w:lineRule="exact"/>
        <w:ind w:firstLine="480" w:firstLineChars="15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color w:val="000000"/>
          <w:szCs w:val="32"/>
          <w:highlight w:val="none"/>
        </w:rPr>
        <w:t>（1）收货验收：货物运至指定地点后，需求部门对提交的货物依据招标文件上的技术规格要求、中标人投标文件响应、中标人交货清单和国家有关质量标准组织现场初步验收，外观、产品质检卡、说明书、合格证符合招标文件要求的，给予验收。</w:t>
      </w:r>
    </w:p>
    <w:p>
      <w:pPr>
        <w:spacing w:line="579" w:lineRule="exact"/>
        <w:ind w:firstLine="480" w:firstLineChars="15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color w:val="000000"/>
          <w:szCs w:val="32"/>
          <w:highlight w:val="none"/>
        </w:rPr>
        <w:t>（2）最终验收：中标人安装、调试、培训完毕，提交竣工验收报告和验收申请，系统正常运行30个工作日后组织终验。</w:t>
      </w:r>
    </w:p>
    <w:p>
      <w:pPr>
        <w:spacing w:line="579" w:lineRule="exact"/>
        <w:ind w:firstLine="480" w:firstLineChars="15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color w:val="000000"/>
          <w:szCs w:val="32"/>
          <w:highlight w:val="none"/>
        </w:rPr>
        <w:t>（3）若验收不合格，中标人需在限定期限内完成整改，若整改达不到要求，则扣除履约保证金，取消其中标资格，承担相应的合同违约责任。</w:t>
      </w:r>
    </w:p>
    <w:p>
      <w:pPr>
        <w:spacing w:line="560" w:lineRule="exact"/>
        <w:ind w:left="11" w:firstLine="643" w:firstLineChars="200"/>
        <w:rPr>
          <w:rFonts w:hint="eastAsia" w:ascii="仿宋_GB2312" w:hAnsi="仿宋_GB2312" w:eastAsia="仿宋_GB2312" w:cs="仿宋_GB2312"/>
          <w:b/>
          <w:kern w:val="0"/>
          <w:szCs w:val="32"/>
          <w:highlight w:val="none"/>
          <w:lang w:val="zh-CN"/>
        </w:rPr>
      </w:pPr>
      <w:r>
        <w:rPr>
          <w:rFonts w:hint="eastAsia" w:ascii="仿宋_GB2312" w:hAnsi="仿宋_GB2312" w:eastAsia="仿宋_GB2312" w:cs="仿宋_GB2312"/>
          <w:b/>
          <w:kern w:val="0"/>
          <w:szCs w:val="32"/>
          <w:highlight w:val="none"/>
          <w:lang w:val="zh-CN"/>
        </w:rPr>
        <w:t>（五）其他要求</w:t>
      </w:r>
    </w:p>
    <w:p>
      <w:pPr>
        <w:spacing w:line="579" w:lineRule="exact"/>
        <w:ind w:firstLine="640" w:firstLineChars="20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color w:val="000000"/>
          <w:szCs w:val="32"/>
          <w:highlight w:val="none"/>
        </w:rPr>
        <w:t>1.因施工引发的人员安全事故或对弱电井、顶棚、墙面等成品设备造成损坏的由中标人承担全部责任，与招标单位无关。</w:t>
      </w:r>
    </w:p>
    <w:p>
      <w:pPr>
        <w:spacing w:line="579" w:lineRule="exact"/>
        <w:ind w:firstLine="640" w:firstLineChars="20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color w:val="000000"/>
          <w:szCs w:val="32"/>
          <w:highlight w:val="none"/>
        </w:rPr>
        <w:t>2.本项目包含旧设备拆除、搬运、施工、处理、新设备运输、装卸、保管、安装、调试检验、培训等一切费用，采购方不再另行支付其他费用。</w:t>
      </w:r>
      <w:bookmarkStart w:id="0" w:name="_GoBack"/>
      <w:bookmarkEnd w:id="0"/>
    </w:p>
    <w:p>
      <w:pPr>
        <w:spacing w:line="579" w:lineRule="exact"/>
        <w:ind w:firstLine="640" w:firstLineChars="20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color w:val="000000"/>
          <w:szCs w:val="32"/>
          <w:highlight w:val="none"/>
        </w:rPr>
        <w:t>3.要求所有服务器安装正版操作系统及原厂服务器管理套件，禁止使用centos和红帽及其派生版本。</w:t>
      </w:r>
    </w:p>
    <w:p>
      <w:pPr>
        <w:spacing w:line="579" w:lineRule="exact"/>
        <w:ind w:firstLine="640" w:firstLineChars="200"/>
        <w:rPr>
          <w:rFonts w:hint="eastAsia" w:ascii="仿宋_GB2312" w:hAnsi="仿宋_GB2312" w:eastAsia="仿宋_GB2312" w:cs="仿宋_GB2312"/>
          <w:color w:val="000000"/>
          <w:szCs w:val="32"/>
          <w:highlight w:val="none"/>
        </w:rPr>
      </w:pPr>
      <w:r>
        <w:rPr>
          <w:rFonts w:hint="eastAsia" w:ascii="仿宋_GB2312" w:hAnsi="仿宋_GB2312" w:eastAsia="仿宋_GB2312" w:cs="仿宋_GB2312"/>
          <w:color w:val="000000"/>
          <w:szCs w:val="32"/>
          <w:highlight w:val="none"/>
        </w:rPr>
        <w:t>4.涉及到系统升级或切换的系统，供应商要提供完善的数据迁移方案。</w:t>
      </w:r>
    </w:p>
    <w:p>
      <w:pPr>
        <w:spacing w:line="560" w:lineRule="exact"/>
        <w:ind w:left="11" w:firstLine="643" w:firstLineChars="200"/>
        <w:rPr>
          <w:rFonts w:hint="eastAsia" w:ascii="仿宋_GB2312" w:hAnsi="仿宋_GB2312" w:eastAsia="仿宋_GB2312" w:cs="仿宋_GB2312"/>
          <w:b/>
          <w:color w:val="FF0000"/>
          <w:kern w:val="0"/>
          <w:szCs w:val="32"/>
          <w:highlight w:val="none"/>
          <w:lang w:val="zh-CN"/>
        </w:rPr>
      </w:pPr>
      <w:r>
        <w:rPr>
          <w:rFonts w:hint="eastAsia" w:ascii="仿宋_GB2312" w:hAnsi="仿宋_GB2312" w:cs="仿宋_GB2312"/>
          <w:b/>
          <w:color w:val="FF0000"/>
          <w:kern w:val="0"/>
          <w:szCs w:val="32"/>
          <w:highlight w:val="none"/>
          <w:lang w:val="zh-CN" w:eastAsia="zh-CN"/>
        </w:rPr>
        <w:t>补充内容：</w:t>
      </w:r>
      <w:r>
        <w:rPr>
          <w:rFonts w:hint="eastAsia" w:ascii="仿宋_GB2312" w:hAnsi="仿宋_GB2312" w:eastAsia="仿宋_GB2312" w:cs="仿宋_GB2312"/>
          <w:b/>
          <w:color w:val="FF0000"/>
          <w:kern w:val="0"/>
          <w:szCs w:val="32"/>
          <w:highlight w:val="none"/>
          <w:lang w:val="zh-CN"/>
        </w:rPr>
        <w:t>（</w:t>
      </w:r>
      <w:r>
        <w:rPr>
          <w:rFonts w:hint="eastAsia" w:ascii="仿宋_GB2312" w:hAnsi="仿宋_GB2312" w:eastAsia="仿宋_GB2312" w:cs="仿宋_GB2312"/>
          <w:b/>
          <w:color w:val="FF0000"/>
          <w:kern w:val="0"/>
          <w:szCs w:val="32"/>
          <w:highlight w:val="none"/>
          <w:lang w:val="zh-CN" w:eastAsia="zh-CN"/>
        </w:rPr>
        <w:t>六</w:t>
      </w:r>
      <w:r>
        <w:rPr>
          <w:rFonts w:hint="eastAsia" w:ascii="仿宋_GB2312" w:hAnsi="仿宋_GB2312" w:eastAsia="仿宋_GB2312" w:cs="仿宋_GB2312"/>
          <w:b/>
          <w:color w:val="FF0000"/>
          <w:kern w:val="0"/>
          <w:szCs w:val="32"/>
          <w:highlight w:val="none"/>
          <w:lang w:val="zh-CN"/>
        </w:rPr>
        <w:t>）</w:t>
      </w:r>
      <w:r>
        <w:rPr>
          <w:rFonts w:hint="eastAsia" w:ascii="仿宋_GB2312" w:hAnsi="仿宋_GB2312" w:eastAsia="仿宋_GB2312" w:cs="仿宋_GB2312"/>
          <w:b/>
          <w:color w:val="FF0000"/>
          <w:kern w:val="0"/>
          <w:szCs w:val="32"/>
          <w:highlight w:val="none"/>
          <w:lang w:val="en-US" w:eastAsia="zh-CN"/>
        </w:rPr>
        <w:t>监控机房增加存储采购项目需求明细表</w:t>
      </w:r>
    </w:p>
    <w:tbl>
      <w:tblPr>
        <w:tblStyle w:val="7"/>
        <w:tblW w:w="4998" w:type="pct"/>
        <w:tblInd w:w="0" w:type="dxa"/>
        <w:shd w:val="clear" w:color="auto" w:fill="auto"/>
        <w:tblLayout w:type="autofit"/>
        <w:tblCellMar>
          <w:top w:w="0" w:type="dxa"/>
          <w:left w:w="0" w:type="dxa"/>
          <w:bottom w:w="0" w:type="dxa"/>
          <w:right w:w="0" w:type="dxa"/>
        </w:tblCellMar>
      </w:tblPr>
      <w:tblGrid>
        <w:gridCol w:w="458"/>
        <w:gridCol w:w="1479"/>
        <w:gridCol w:w="7671"/>
        <w:gridCol w:w="611"/>
        <w:gridCol w:w="749"/>
        <w:gridCol w:w="906"/>
        <w:gridCol w:w="906"/>
      </w:tblGrid>
      <w:tr>
        <w:tblPrEx>
          <w:shd w:val="clear" w:color="auto" w:fill="auto"/>
          <w:tblCellMar>
            <w:top w:w="0" w:type="dxa"/>
            <w:left w:w="0" w:type="dxa"/>
            <w:bottom w:w="0" w:type="dxa"/>
            <w:right w:w="0" w:type="dxa"/>
          </w:tblCellMar>
        </w:tblPrEx>
        <w:trPr>
          <w:trHeight w:val="660" w:hRule="atLeast"/>
        </w:trPr>
        <w:tc>
          <w:tcPr>
            <w:tcW w:w="179" w:type="pc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序号</w:t>
            </w:r>
          </w:p>
        </w:tc>
        <w:tc>
          <w:tcPr>
            <w:tcW w:w="578" w:type="pc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名称</w:t>
            </w:r>
          </w:p>
        </w:tc>
        <w:tc>
          <w:tcPr>
            <w:tcW w:w="2999" w:type="pc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技术参数</w:t>
            </w:r>
          </w:p>
        </w:tc>
        <w:tc>
          <w:tcPr>
            <w:tcW w:w="239" w:type="pc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数量</w:t>
            </w:r>
          </w:p>
        </w:tc>
        <w:tc>
          <w:tcPr>
            <w:tcW w:w="293" w:type="pc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单位</w:t>
            </w:r>
          </w:p>
        </w:tc>
        <w:tc>
          <w:tcPr>
            <w:tcW w:w="354" w:type="pc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单价</w:t>
            </w:r>
          </w:p>
        </w:tc>
        <w:tc>
          <w:tcPr>
            <w:tcW w:w="354" w:type="pc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kern w:val="0"/>
                <w:sz w:val="22"/>
                <w:szCs w:val="22"/>
                <w:u w:val="none"/>
                <w:lang w:val="en-US" w:eastAsia="zh-CN" w:bidi="ar"/>
              </w:rPr>
            </w:pPr>
            <w:r>
              <w:rPr>
                <w:rFonts w:hint="eastAsia" w:ascii="宋体" w:hAnsi="宋体" w:eastAsia="宋体" w:cs="宋体"/>
                <w:i w:val="0"/>
                <w:color w:val="FF0000"/>
                <w:kern w:val="0"/>
                <w:sz w:val="22"/>
                <w:szCs w:val="22"/>
                <w:u w:val="none"/>
                <w:lang w:val="en-US" w:eastAsia="zh-CN" w:bidi="ar"/>
              </w:rPr>
              <w:t>价格</w:t>
            </w:r>
          </w:p>
        </w:tc>
      </w:tr>
      <w:tr>
        <w:tblPrEx>
          <w:tblCellMar>
            <w:top w:w="0" w:type="dxa"/>
            <w:left w:w="0" w:type="dxa"/>
            <w:bottom w:w="0" w:type="dxa"/>
            <w:right w:w="0" w:type="dxa"/>
          </w:tblCellMar>
        </w:tblPrEx>
        <w:trPr>
          <w:trHeight w:val="2050" w:hRule="atLeast"/>
        </w:trPr>
        <w:tc>
          <w:tcPr>
            <w:tcW w:w="17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1</w:t>
            </w:r>
          </w:p>
        </w:tc>
        <w:tc>
          <w:tcPr>
            <w:tcW w:w="5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磁盘阵列存储（万兆）</w:t>
            </w:r>
          </w:p>
        </w:tc>
        <w:tc>
          <w:tcPr>
            <w:tcW w:w="29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1、服务器配置：≥1颗64位多核处理器，≥8GB内存；</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2、电源模块化冗余设计，支持热插拔1+1AC220V 或 1+1 直流电源供电；</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3、≥1个千兆管理电口，≥2个千兆数据电口，≥2个万兆数据光口；</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★4、配置≥48盘位磁盘阵列，配置企业级硬盘，单台总存储容量≥520T；（提供生产厂家出具的承诺函）</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5、支持硬盘损坏时所属RAID存储数据不丢失，应能正常读写；</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7、具有包括RAID0、RAID1、RAID3、RAID5、RAID6、RAID10、RAID50、JBOD的RAID功能设置选项。具有同步优先、业务优先、I/O均衡及自适应四种RAID同步方式设置选项。支持全局热备和局部热备。支持RAID即建即用。可通过浏览器在线扩展客户端逻辑卷的存储空间。</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8、支持视音频、图片、智能数据流进行混合直存，无须存储服务器和图片服务器的参与，平台服务器宕机时，存储业务正常；支持国际GB/T 28181和Onvif视频流直存模式；支持iSCSI直存功能，前端网络摄像机和设备之间可直接通过iSCSI协议进行块存储；网络中断后重新恢复，可续存断网期间存储在前端设备中的录像文件，并可通过IE浏览器设置自动回传和手动回传；</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9、应能接入并存储≥2048Mbps视频图像，同时转发≥2048Mbps的视频图像；同时回放≥2048Mbps的视频图像；在转发模式下，可进行≥2048Mbps视频码流转发；</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10、可根据业务需要配置重构速度，支持低速、中速、高速和全速四种重构速度配置，可通过客户端软件显示重构速度；RAID模式下，当RAID内某一块硬盘发生故障，更换该硬盘或热备盘替换时，可自动进行RAID重构；当RAID处于降级或重构状态下，不影响数据写入；可将损坏RAID按照RAID损坏等级进行重构；当RAID出现故障失效时，RAID中的录像可进行回放；</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11、支持不低于800Mbps图片转发；支持不低于800Mbps图片并发输入，同时不低于800Mbps图片并发输出；</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12、支持通过IE、火狐、Google、360等浏览器对设备进行操作；</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13、具有磁盘指示灯、告警指示灯、网络指示灯、电源指示灯、磁盘上电指示灯及磁盘读写指示灯;</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14、当开启智能录像时，设备可根据前端接入路数、存储周期、码率等参数，自动选择N+M冗余级别较高的数据保护方式；</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15、可在操作界面查看数据重构状态，设备的磁盘或节点离线并重新插回后，可在界面显示离线磁盘或节点的数据重构过程，离线前数据不丢失；</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16、支持HLS协议，客户端可以进行全帧索引回放，并支持客户端下载视频文件。</w:t>
            </w:r>
            <w:r>
              <w:rPr>
                <w:rFonts w:hint="eastAsia" w:ascii="宋体" w:hAnsi="宋体" w:eastAsia="宋体" w:cs="宋体"/>
                <w:i w:val="0"/>
                <w:color w:val="FF0000"/>
                <w:kern w:val="0"/>
                <w:sz w:val="22"/>
                <w:szCs w:val="22"/>
                <w:u w:val="none"/>
                <w:lang w:val="en-US" w:eastAsia="zh-CN" w:bidi="ar"/>
              </w:rPr>
              <w:br w:type="textWrapping"/>
            </w:r>
            <w:r>
              <w:rPr>
                <w:rFonts w:hint="eastAsia" w:ascii="宋体" w:hAnsi="宋体" w:eastAsia="宋体" w:cs="宋体"/>
                <w:i w:val="0"/>
                <w:color w:val="FF0000"/>
                <w:kern w:val="0"/>
                <w:sz w:val="22"/>
                <w:szCs w:val="22"/>
                <w:u w:val="none"/>
                <w:lang w:val="en-US" w:eastAsia="zh-CN" w:bidi="ar"/>
              </w:rPr>
              <w:t>17、支持实时监测硬盘的健康状态，可对被监测的硬盘健康状态进行分级分类，包括健康（良好、正常）、亚健康（警告、即将损坏）、故障（错误、损坏）等。</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3</w:t>
            </w:r>
          </w:p>
        </w:tc>
        <w:tc>
          <w:tcPr>
            <w:tcW w:w="2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台</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160000</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FF0000"/>
                <w:kern w:val="0"/>
                <w:sz w:val="22"/>
                <w:szCs w:val="22"/>
                <w:u w:val="none"/>
                <w:lang w:val="en-US" w:eastAsia="zh-CN" w:bidi="ar"/>
              </w:rPr>
            </w:pPr>
            <w:r>
              <w:rPr>
                <w:rFonts w:hint="eastAsia" w:ascii="宋体" w:hAnsi="宋体" w:eastAsia="宋体" w:cs="宋体"/>
                <w:i w:val="0"/>
                <w:color w:val="FF0000"/>
                <w:kern w:val="0"/>
                <w:sz w:val="22"/>
                <w:szCs w:val="22"/>
                <w:u w:val="none"/>
                <w:lang w:val="en-US" w:eastAsia="zh-CN" w:bidi="ar"/>
              </w:rPr>
              <w:t>480000</w:t>
            </w:r>
          </w:p>
        </w:tc>
      </w:tr>
      <w:tr>
        <w:tblPrEx>
          <w:tblCellMar>
            <w:top w:w="0" w:type="dxa"/>
            <w:left w:w="0" w:type="dxa"/>
            <w:bottom w:w="0" w:type="dxa"/>
            <w:right w:w="0" w:type="dxa"/>
          </w:tblCellMar>
        </w:tblPrEx>
        <w:trPr>
          <w:trHeight w:val="3810" w:hRule="atLeast"/>
        </w:trPr>
        <w:tc>
          <w:tcPr>
            <w:tcW w:w="17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2</w:t>
            </w:r>
          </w:p>
        </w:tc>
        <w:tc>
          <w:tcPr>
            <w:tcW w:w="5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综合安防管理平台</w:t>
            </w:r>
          </w:p>
        </w:tc>
        <w:tc>
          <w:tcPr>
            <w:tcW w:w="29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FF0000"/>
                <w:sz w:val="22"/>
                <w:szCs w:val="22"/>
                <w:u w:val="none"/>
              </w:rPr>
            </w:pPr>
            <w:r>
              <w:rPr>
                <w:rStyle w:val="19"/>
                <w:color w:val="FF0000"/>
                <w:lang w:val="en-US" w:eastAsia="zh-CN" w:bidi="ar"/>
              </w:rPr>
              <w:t>★1、接入管理≥1000台设备，≥2000路视频通道，包含接入及运维路数授权（提供生产厂家出具的承诺函）</w:t>
            </w:r>
            <w:r>
              <w:rPr>
                <w:rStyle w:val="20"/>
                <w:color w:val="FF0000"/>
                <w:lang w:val="en-US" w:eastAsia="zh-CN" w:bidi="ar"/>
              </w:rPr>
              <w:t>；</w:t>
            </w:r>
            <w:r>
              <w:rPr>
                <w:rStyle w:val="19"/>
                <w:color w:val="FF0000"/>
                <w:lang w:val="en-US" w:eastAsia="zh-CN" w:bidi="ar"/>
              </w:rPr>
              <w:br w:type="textWrapping"/>
            </w:r>
            <w:r>
              <w:rPr>
                <w:rStyle w:val="19"/>
                <w:color w:val="FF0000"/>
                <w:lang w:val="en-US" w:eastAsia="zh-CN" w:bidi="ar"/>
              </w:rPr>
              <w:t>2、接入带宽：≥512M、转发带宽：≥384M、存储带宽：≥512M；</w:t>
            </w:r>
            <w:r>
              <w:rPr>
                <w:rStyle w:val="19"/>
                <w:color w:val="FF0000"/>
                <w:lang w:val="en-US" w:eastAsia="zh-CN" w:bidi="ar"/>
              </w:rPr>
              <w:br w:type="textWrapping"/>
            </w:r>
            <w:r>
              <w:rPr>
                <w:rStyle w:val="19"/>
                <w:color w:val="FF0000"/>
                <w:lang w:val="en-US" w:eastAsia="zh-CN" w:bidi="ar"/>
              </w:rPr>
              <w:t>3、支持接入并管理IPC、NVR、门禁、人脸识别设备、解码器、网络键盘、出入口等设备；</w:t>
            </w:r>
            <w:r>
              <w:rPr>
                <w:rStyle w:val="19"/>
                <w:color w:val="FF0000"/>
                <w:lang w:val="en-US" w:eastAsia="zh-CN" w:bidi="ar"/>
              </w:rPr>
              <w:br w:type="textWrapping"/>
            </w:r>
            <w:r>
              <w:rPr>
                <w:rStyle w:val="19"/>
                <w:color w:val="FF0000"/>
                <w:lang w:val="en-US" w:eastAsia="zh-CN" w:bidi="ar"/>
              </w:rPr>
              <w:t>4、支持发送RTSP协议、RTMP协议；支持标准ONVIF、GB/T28181协议、视图库协议；</w:t>
            </w:r>
            <w:r>
              <w:rPr>
                <w:rStyle w:val="19"/>
                <w:color w:val="FF0000"/>
                <w:lang w:val="en-US" w:eastAsia="zh-CN" w:bidi="ar"/>
              </w:rPr>
              <w:br w:type="textWrapping"/>
            </w:r>
            <w:r>
              <w:rPr>
                <w:rStyle w:val="19"/>
                <w:color w:val="FF0000"/>
                <w:lang w:val="en-US" w:eastAsia="zh-CN" w:bidi="ar"/>
              </w:rPr>
              <w:t>5、多应用端：支持电脑B/S、C/S客户端、IOS、Android移动客户端、本地客户端多个客户端同时访问，实现视频预览、录像回放、视频上墙、视频事件监控服务能力；</w:t>
            </w:r>
            <w:r>
              <w:rPr>
                <w:rStyle w:val="19"/>
                <w:color w:val="FF0000"/>
                <w:lang w:val="en-US" w:eastAsia="zh-CN" w:bidi="ar"/>
              </w:rPr>
              <w:br w:type="textWrapping"/>
            </w:r>
            <w:r>
              <w:rPr>
                <w:rStyle w:val="19"/>
                <w:color w:val="FF0000"/>
                <w:lang w:val="en-US" w:eastAsia="zh-CN" w:bidi="ar"/>
              </w:rPr>
              <w:t>6、支持视频业务、考勤管理、访客管理、异常报警、人数统计、混行检测、人脸识别等业务；</w:t>
            </w:r>
            <w:r>
              <w:rPr>
                <w:rStyle w:val="19"/>
                <w:color w:val="FF0000"/>
                <w:lang w:val="en-US" w:eastAsia="zh-CN" w:bidi="ar"/>
              </w:rPr>
              <w:br w:type="textWrapping"/>
            </w:r>
            <w:r>
              <w:rPr>
                <w:rStyle w:val="19"/>
                <w:color w:val="FF0000"/>
                <w:lang w:val="en-US" w:eastAsia="zh-CN" w:bidi="ar"/>
              </w:rPr>
              <w:t>7、提供业务应用依赖的基础资源信息及基础服务能力，包括系统基础信息管理、地图应用服务、事件联动应用服务；</w:t>
            </w:r>
            <w:r>
              <w:rPr>
                <w:rStyle w:val="19"/>
                <w:color w:val="FF0000"/>
                <w:lang w:val="en-US" w:eastAsia="zh-CN" w:bidi="ar"/>
              </w:rPr>
              <w:br w:type="textWrapping"/>
            </w:r>
            <w:r>
              <w:rPr>
                <w:rStyle w:val="19"/>
                <w:color w:val="FF0000"/>
                <w:lang w:val="en-US" w:eastAsia="zh-CN" w:bidi="ar"/>
              </w:rPr>
              <w:t>8、提供系统报警事件接收、事件处理、事件联动、事件检索能力，提供场景化的事件联动应用，报警事件产生时，可以通过多种方式、多种联动场景提醒安保人员，保障报警事件通知的及时性，包括多种联动方式：视频弹窗、视频上墙、录像联动、云台联动、IO联动、抓图联动等；</w:t>
            </w:r>
            <w:r>
              <w:rPr>
                <w:rStyle w:val="19"/>
                <w:color w:val="FF0000"/>
                <w:lang w:val="en-US" w:eastAsia="zh-CN" w:bidi="ar"/>
              </w:rPr>
              <w:br w:type="textWrapping"/>
            </w:r>
            <w:r>
              <w:rPr>
                <w:rStyle w:val="19"/>
                <w:color w:val="FF0000"/>
                <w:lang w:val="en-US" w:eastAsia="zh-CN" w:bidi="ar"/>
              </w:rPr>
              <w:t>9、对接入平台的视频设备进行在线巡检，及时发现故障设备和掉线设备。</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套</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60000</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FF0000"/>
                <w:kern w:val="0"/>
                <w:sz w:val="22"/>
                <w:szCs w:val="22"/>
                <w:u w:val="none"/>
                <w:lang w:val="en-US" w:eastAsia="zh-CN" w:bidi="ar"/>
              </w:rPr>
            </w:pPr>
            <w:r>
              <w:rPr>
                <w:rFonts w:hint="eastAsia" w:ascii="宋体" w:hAnsi="宋体" w:eastAsia="宋体" w:cs="宋体"/>
                <w:i w:val="0"/>
                <w:color w:val="FF0000"/>
                <w:kern w:val="0"/>
                <w:sz w:val="22"/>
                <w:szCs w:val="22"/>
                <w:u w:val="none"/>
                <w:lang w:val="en-US" w:eastAsia="zh-CN" w:bidi="ar"/>
              </w:rPr>
              <w:t>60000</w:t>
            </w:r>
          </w:p>
        </w:tc>
      </w:tr>
      <w:tr>
        <w:tblPrEx>
          <w:tblCellMar>
            <w:top w:w="0" w:type="dxa"/>
            <w:left w:w="0" w:type="dxa"/>
            <w:bottom w:w="0" w:type="dxa"/>
            <w:right w:w="0" w:type="dxa"/>
          </w:tblCellMar>
        </w:tblPrEx>
        <w:trPr>
          <w:trHeight w:val="4605" w:hRule="atLeast"/>
        </w:trPr>
        <w:tc>
          <w:tcPr>
            <w:tcW w:w="17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3</w:t>
            </w:r>
          </w:p>
        </w:tc>
        <w:tc>
          <w:tcPr>
            <w:tcW w:w="5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解码器</w:t>
            </w:r>
          </w:p>
        </w:tc>
        <w:tc>
          <w:tcPr>
            <w:tcW w:w="29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FF0000"/>
                <w:sz w:val="22"/>
                <w:szCs w:val="22"/>
                <w:u w:val="none"/>
              </w:rPr>
            </w:pPr>
            <w:r>
              <w:rPr>
                <w:rStyle w:val="19"/>
                <w:color w:val="FF0000"/>
                <w:lang w:val="en-US" w:eastAsia="zh-CN" w:bidi="ar"/>
              </w:rPr>
              <w:t>1、标准机架式设计，运营级ATCA机箱系统；插拔式模块化设计，可根据需求灵活扩展；</w:t>
            </w:r>
            <w:r>
              <w:rPr>
                <w:rStyle w:val="19"/>
                <w:color w:val="FF0000"/>
                <w:lang w:val="en-US" w:eastAsia="zh-CN" w:bidi="ar"/>
              </w:rPr>
              <w:br w:type="textWrapping"/>
            </w:r>
            <w:r>
              <w:rPr>
                <w:rStyle w:val="19"/>
                <w:color w:val="FF0000"/>
                <w:lang w:val="en-US" w:eastAsia="zh-CN" w:bidi="ar"/>
              </w:rPr>
              <w:t>▲2、视频输入板卡具备视频和音频同时接入≥8个HDMI接口，视频输出板具备≥30个HDMI接口；</w:t>
            </w:r>
            <w:r>
              <w:rPr>
                <w:rStyle w:val="19"/>
                <w:color w:val="FF0000"/>
                <w:lang w:val="en-US" w:eastAsia="zh-CN" w:bidi="ar"/>
              </w:rPr>
              <w:br w:type="textWrapping"/>
            </w:r>
            <w:r>
              <w:rPr>
                <w:rStyle w:val="19"/>
                <w:color w:val="FF0000"/>
                <w:lang w:val="en-US" w:eastAsia="zh-CN" w:bidi="ar"/>
              </w:rPr>
              <w:t>3、具备三码流编码功能：样机支持主码流、子码流、第三码流编码输出功能；</w:t>
            </w:r>
            <w:r>
              <w:rPr>
                <w:rStyle w:val="19"/>
                <w:color w:val="FF0000"/>
                <w:lang w:val="en-US" w:eastAsia="zh-CN" w:bidi="ar"/>
              </w:rPr>
              <w:br w:type="textWrapping"/>
            </w:r>
            <w:r>
              <w:rPr>
                <w:rStyle w:val="19"/>
                <w:color w:val="FF0000"/>
                <w:lang w:val="en-US" w:eastAsia="zh-CN" w:bidi="ar"/>
              </w:rPr>
              <w:t>▲4、支持单屏及拼接屏的1、4、6、8、9、12、16、25、32、36、64等分割显示；</w:t>
            </w:r>
            <w:r>
              <w:rPr>
                <w:rStyle w:val="19"/>
                <w:color w:val="FF0000"/>
                <w:lang w:val="en-US" w:eastAsia="zh-CN" w:bidi="ar"/>
              </w:rPr>
              <w:br w:type="textWrapping"/>
            </w:r>
            <w:r>
              <w:rPr>
                <w:rStyle w:val="19"/>
                <w:color w:val="FF0000"/>
                <w:lang w:val="en-US" w:eastAsia="zh-CN" w:bidi="ar"/>
              </w:rPr>
              <w:t>5、支持虚拟云台控制功能，具备虚拟云台控制按键，可调整球机和云台的运行速度和方向，并且支持多用户云台抢占、云台控制锁定功能；</w:t>
            </w:r>
            <w:r>
              <w:rPr>
                <w:rStyle w:val="19"/>
                <w:color w:val="FF0000"/>
                <w:lang w:val="en-US" w:eastAsia="zh-CN" w:bidi="ar"/>
              </w:rPr>
              <w:br w:type="textWrapping"/>
            </w:r>
            <w:r>
              <w:rPr>
                <w:rStyle w:val="19"/>
                <w:color w:val="FF0000"/>
                <w:lang w:val="en-US" w:eastAsia="zh-CN" w:bidi="ar"/>
              </w:rPr>
              <w:t>6、支持手动视频切换功能，支持将选定的视频输入切换到选定的视频输出，支持视音频同步切换、异步切换，画面切换时不出现黑屏；</w:t>
            </w:r>
            <w:r>
              <w:rPr>
                <w:rStyle w:val="19"/>
                <w:color w:val="FF0000"/>
                <w:lang w:val="en-US" w:eastAsia="zh-CN" w:bidi="ar"/>
              </w:rPr>
              <w:br w:type="textWrapping"/>
            </w:r>
            <w:r>
              <w:rPr>
                <w:rStyle w:val="19"/>
                <w:color w:val="FF0000"/>
                <w:lang w:val="en-US" w:eastAsia="zh-CN" w:bidi="ar"/>
              </w:rPr>
              <w:t>7、支持视音频同步输出，支持多组轮巡同步切换；</w:t>
            </w:r>
            <w:r>
              <w:rPr>
                <w:rStyle w:val="19"/>
                <w:color w:val="FF0000"/>
                <w:lang w:val="en-US" w:eastAsia="zh-CN" w:bidi="ar"/>
              </w:rPr>
              <w:br w:type="textWrapping"/>
            </w:r>
            <w:r>
              <w:rPr>
                <w:rStyle w:val="19"/>
                <w:color w:val="FF0000"/>
                <w:lang w:val="en-US" w:eastAsia="zh-CN" w:bidi="ar"/>
              </w:rPr>
              <w:t>8、支持整个电视墙所有视频源同时切换，可设置切换时间，切换资源画面时画面不会刷黑；</w:t>
            </w:r>
            <w:r>
              <w:rPr>
                <w:rStyle w:val="21"/>
                <w:color w:val="FF0000"/>
                <w:lang w:val="en-US" w:eastAsia="zh-CN" w:bidi="ar"/>
              </w:rPr>
              <w:br w:type="textWrapping"/>
            </w:r>
            <w:r>
              <w:rPr>
                <w:rStyle w:val="19"/>
                <w:color w:val="FF0000"/>
                <w:lang w:val="en-US" w:eastAsia="zh-CN" w:bidi="ar"/>
              </w:rPr>
              <w:t>9、支持接入分辨率为8640×3840、4000×3000、3296×2472、2592×2048、2048×1536、1920×1080、1600×1200、1280×720、704×576的视频；</w:t>
            </w:r>
            <w:r>
              <w:rPr>
                <w:rStyle w:val="19"/>
                <w:color w:val="FF0000"/>
                <w:lang w:val="en-US" w:eastAsia="zh-CN" w:bidi="ar"/>
              </w:rPr>
              <w:br w:type="textWrapping"/>
            </w:r>
            <w:r>
              <w:rPr>
                <w:rStyle w:val="19"/>
                <w:color w:val="FF0000"/>
                <w:lang w:val="en-US" w:eastAsia="zh-CN" w:bidi="ar"/>
              </w:rPr>
              <w:t>10、具备超强解码能力，单板卡≥32路1080P输出，支持HDMI、DVI、VGA、IP视频输入，支持HDMI视频输出，支持音频输出；</w:t>
            </w:r>
            <w:r>
              <w:rPr>
                <w:rStyle w:val="19"/>
                <w:color w:val="FF0000"/>
                <w:lang w:val="en-US" w:eastAsia="zh-CN" w:bidi="ar"/>
              </w:rPr>
              <w:br w:type="textWrapping"/>
            </w:r>
            <w:r>
              <w:rPr>
                <w:rStyle w:val="19"/>
                <w:color w:val="FF0000"/>
                <w:lang w:val="en-US" w:eastAsia="zh-CN" w:bidi="ar"/>
              </w:rPr>
              <w:t>11、具有同一输入通道的视频图像在不同输出端口显示的失步误差小于1ms；</w:t>
            </w:r>
            <w:r>
              <w:rPr>
                <w:rStyle w:val="19"/>
                <w:color w:val="FF0000"/>
                <w:lang w:val="en-US" w:eastAsia="zh-CN" w:bidi="ar"/>
              </w:rPr>
              <w:br w:type="textWrapping"/>
            </w:r>
            <w:r>
              <w:rPr>
                <w:rStyle w:val="19"/>
                <w:color w:val="FF0000"/>
                <w:lang w:val="en-US" w:eastAsia="zh-CN" w:bidi="ar"/>
              </w:rPr>
              <w:t>12、信号切换时间应＜20ms。</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台</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40000</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FF0000"/>
                <w:kern w:val="0"/>
                <w:sz w:val="22"/>
                <w:szCs w:val="22"/>
                <w:u w:val="none"/>
                <w:lang w:val="en-US" w:eastAsia="zh-CN" w:bidi="ar"/>
              </w:rPr>
            </w:pPr>
            <w:r>
              <w:rPr>
                <w:rFonts w:hint="eastAsia" w:ascii="宋体" w:hAnsi="宋体" w:eastAsia="宋体" w:cs="宋体"/>
                <w:i w:val="0"/>
                <w:color w:val="FF0000"/>
                <w:kern w:val="0"/>
                <w:sz w:val="22"/>
                <w:szCs w:val="22"/>
                <w:u w:val="none"/>
                <w:lang w:val="en-US" w:eastAsia="zh-CN" w:bidi="ar"/>
              </w:rPr>
              <w:t>40000</w:t>
            </w:r>
          </w:p>
        </w:tc>
      </w:tr>
      <w:tr>
        <w:tblPrEx>
          <w:tblCellMar>
            <w:top w:w="0" w:type="dxa"/>
            <w:left w:w="0" w:type="dxa"/>
            <w:bottom w:w="0" w:type="dxa"/>
            <w:right w:w="0" w:type="dxa"/>
          </w:tblCellMar>
        </w:tblPrEx>
        <w:trPr>
          <w:trHeight w:val="90" w:hRule="atLeast"/>
        </w:trPr>
        <w:tc>
          <w:tcPr>
            <w:tcW w:w="17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4</w:t>
            </w:r>
          </w:p>
        </w:tc>
        <w:tc>
          <w:tcPr>
            <w:tcW w:w="5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安装辅材</w:t>
            </w:r>
          </w:p>
        </w:tc>
        <w:tc>
          <w:tcPr>
            <w:tcW w:w="29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工程网线、电源线、跳纤、水晶头、软管、缠绕管、绝缘胶带、防水胶带、扎带、包塑金属软管、插线板等。</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批</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 xml:space="preserve">20000 </w:t>
            </w: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FF0000"/>
                <w:kern w:val="0"/>
                <w:sz w:val="22"/>
                <w:szCs w:val="22"/>
                <w:u w:val="none"/>
                <w:lang w:val="en-US" w:eastAsia="zh-CN" w:bidi="ar"/>
              </w:rPr>
            </w:pPr>
            <w:r>
              <w:rPr>
                <w:rFonts w:hint="eastAsia" w:ascii="宋体" w:hAnsi="宋体" w:eastAsia="宋体" w:cs="宋体"/>
                <w:i w:val="0"/>
                <w:color w:val="FF0000"/>
                <w:kern w:val="0"/>
                <w:sz w:val="22"/>
                <w:szCs w:val="22"/>
                <w:u w:val="none"/>
                <w:lang w:val="en-US" w:eastAsia="zh-CN" w:bidi="ar"/>
              </w:rPr>
              <w:t>20000</w:t>
            </w:r>
          </w:p>
        </w:tc>
      </w:tr>
      <w:tr>
        <w:tblPrEx>
          <w:tblCellMar>
            <w:top w:w="0" w:type="dxa"/>
            <w:left w:w="0" w:type="dxa"/>
            <w:bottom w:w="0" w:type="dxa"/>
            <w:right w:w="0" w:type="dxa"/>
          </w:tblCellMar>
        </w:tblPrEx>
        <w:trPr>
          <w:trHeight w:val="852" w:hRule="atLeast"/>
        </w:trPr>
        <w:tc>
          <w:tcPr>
            <w:tcW w:w="17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FF0000"/>
                <w:sz w:val="24"/>
                <w:szCs w:val="24"/>
                <w:u w:val="none"/>
              </w:rPr>
            </w:pPr>
          </w:p>
        </w:tc>
        <w:tc>
          <w:tcPr>
            <w:tcW w:w="5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总造价</w:t>
            </w:r>
          </w:p>
        </w:tc>
        <w:tc>
          <w:tcPr>
            <w:tcW w:w="29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600000</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FF0000"/>
                <w:sz w:val="22"/>
                <w:szCs w:val="22"/>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FF0000"/>
                <w:sz w:val="22"/>
                <w:szCs w:val="22"/>
                <w:u w:val="none"/>
              </w:rPr>
            </w:pP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FF0000"/>
                <w:sz w:val="22"/>
                <w:szCs w:val="22"/>
                <w:u w:val="none"/>
              </w:rPr>
            </w:pPr>
          </w:p>
        </w:tc>
        <w:tc>
          <w:tcPr>
            <w:tcW w:w="35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i w:val="0"/>
                <w:color w:val="FF0000"/>
                <w:sz w:val="22"/>
                <w:szCs w:val="22"/>
                <w:u w:val="none"/>
                <w:lang w:val="en-US" w:eastAsia="zh-CN"/>
              </w:rPr>
            </w:pPr>
            <w:r>
              <w:rPr>
                <w:rFonts w:hint="eastAsia" w:ascii="宋体" w:hAnsi="宋体" w:eastAsia="宋体" w:cs="宋体"/>
                <w:i w:val="0"/>
                <w:color w:val="FF0000"/>
                <w:sz w:val="22"/>
                <w:szCs w:val="22"/>
                <w:u w:val="none"/>
                <w:lang w:val="en-US" w:eastAsia="zh-CN"/>
              </w:rPr>
              <w:t>600000</w:t>
            </w:r>
          </w:p>
        </w:tc>
      </w:tr>
    </w:tbl>
    <w:p>
      <w:pPr>
        <w:pStyle w:val="2"/>
        <w:rPr>
          <w:rFonts w:hint="eastAsia"/>
        </w:rPr>
      </w:pPr>
    </w:p>
    <w:p>
      <w:pPr>
        <w:tabs>
          <w:tab w:val="left" w:pos="840"/>
          <w:tab w:val="left" w:pos="1080"/>
        </w:tabs>
        <w:autoSpaceDE w:val="0"/>
        <w:autoSpaceDN w:val="0"/>
        <w:adjustRightInd w:val="0"/>
        <w:spacing w:line="579" w:lineRule="exact"/>
        <w:ind w:firstLine="640" w:firstLineChars="200"/>
        <w:outlineLvl w:val="3"/>
        <w:rPr>
          <w:rFonts w:ascii="黑体" w:hAnsi="黑体" w:eastAsia="黑体"/>
          <w:szCs w:val="32"/>
        </w:rPr>
      </w:pPr>
      <w:r>
        <w:rPr>
          <w:rFonts w:hint="eastAsia" w:ascii="黑体" w:hAnsi="黑体" w:eastAsia="黑体"/>
          <w:szCs w:val="32"/>
          <w:lang w:eastAsia="zh-CN"/>
        </w:rPr>
        <w:t>七</w:t>
      </w:r>
      <w:r>
        <w:rPr>
          <w:rFonts w:hint="eastAsia" w:ascii="黑体" w:hAnsi="黑体" w:eastAsia="黑体"/>
          <w:szCs w:val="32"/>
        </w:rPr>
        <w:t>、质保期及售后服务</w:t>
      </w:r>
    </w:p>
    <w:p>
      <w:pPr>
        <w:tabs>
          <w:tab w:val="left" w:pos="840"/>
          <w:tab w:val="left" w:pos="1080"/>
        </w:tabs>
        <w:autoSpaceDE w:val="0"/>
        <w:autoSpaceDN w:val="0"/>
        <w:adjustRightInd w:val="0"/>
        <w:spacing w:line="579" w:lineRule="exact"/>
        <w:ind w:firstLine="640" w:firstLineChars="200"/>
        <w:outlineLvl w:val="3"/>
        <w:rPr>
          <w:rFonts w:ascii="仿宋_GB2312" w:hAnsi="仿宋_GB2312" w:cs="仿宋_GB2312"/>
          <w:szCs w:val="32"/>
        </w:rPr>
      </w:pPr>
      <w:r>
        <w:rPr>
          <w:rFonts w:hint="eastAsia" w:ascii="仿宋_GB2312" w:hAnsi="仿宋_GB2312" w:cs="仿宋_GB2312"/>
          <w:szCs w:val="32"/>
        </w:rPr>
        <w:t>1.质保期及售后服务时间：自验收之起3年，所涉及软硬件均需提供3年原厂质保服务，含7x24小时标准服务。</w:t>
      </w:r>
    </w:p>
    <w:p>
      <w:pPr>
        <w:tabs>
          <w:tab w:val="left" w:pos="840"/>
          <w:tab w:val="left" w:pos="1080"/>
        </w:tabs>
        <w:autoSpaceDE w:val="0"/>
        <w:autoSpaceDN w:val="0"/>
        <w:adjustRightInd w:val="0"/>
        <w:spacing w:line="579" w:lineRule="exact"/>
        <w:ind w:firstLine="640" w:firstLineChars="200"/>
        <w:outlineLvl w:val="3"/>
        <w:rPr>
          <w:rFonts w:ascii="仿宋_GB2312" w:hAnsi="仿宋_GB2312" w:cs="仿宋_GB2312"/>
          <w:szCs w:val="32"/>
        </w:rPr>
      </w:pPr>
      <w:r>
        <w:rPr>
          <w:rFonts w:hint="eastAsia" w:ascii="仿宋_GB2312" w:hAnsi="仿宋_GB2312" w:cs="仿宋_GB2312"/>
          <w:szCs w:val="32"/>
        </w:rPr>
        <w:t>2.投标人或产品制造商在当地应有长期稳定的服务机构，能够提供与投标人或产品制造商相关服务网点营业执照或租赁合同或合作协议的相关证明材料。质保期内应保证7x24小时故障响应，2小时抵达现场，应做到随时全程跟踪故障的响应、处理和解决。</w:t>
      </w:r>
    </w:p>
    <w:p>
      <w:pPr>
        <w:tabs>
          <w:tab w:val="left" w:pos="840"/>
          <w:tab w:val="left" w:pos="1080"/>
        </w:tabs>
        <w:autoSpaceDE w:val="0"/>
        <w:autoSpaceDN w:val="0"/>
        <w:adjustRightInd w:val="0"/>
        <w:spacing w:line="579" w:lineRule="exact"/>
        <w:ind w:firstLine="640" w:firstLineChars="200"/>
        <w:outlineLvl w:val="3"/>
        <w:rPr>
          <w:rFonts w:ascii="仿宋_GB2312" w:hAnsi="仿宋_GB2312" w:cs="仿宋_GB2312"/>
          <w:szCs w:val="32"/>
        </w:rPr>
      </w:pPr>
      <w:r>
        <w:rPr>
          <w:rFonts w:hint="eastAsia" w:ascii="仿宋_GB2312" w:hAnsi="仿宋_GB2312" w:cs="仿宋_GB2312"/>
          <w:szCs w:val="32"/>
        </w:rPr>
        <w:t>3.投标人对提供的货物在质保期内，因产品质量而导致的缺陷，必须免费提供维修、更换等服务。</w:t>
      </w:r>
    </w:p>
    <w:p>
      <w:pPr>
        <w:tabs>
          <w:tab w:val="left" w:pos="840"/>
          <w:tab w:val="left" w:pos="1080"/>
        </w:tabs>
        <w:autoSpaceDE w:val="0"/>
        <w:autoSpaceDN w:val="0"/>
        <w:adjustRightInd w:val="0"/>
        <w:spacing w:line="579" w:lineRule="exact"/>
        <w:ind w:firstLine="640" w:firstLineChars="200"/>
        <w:outlineLvl w:val="3"/>
        <w:rPr>
          <w:rFonts w:ascii="仿宋_GB2312" w:hAnsi="仿宋_GB2312" w:cs="仿宋_GB2312"/>
          <w:szCs w:val="32"/>
        </w:rPr>
      </w:pPr>
      <w:r>
        <w:rPr>
          <w:rFonts w:hint="eastAsia" w:ascii="仿宋_GB2312" w:hAnsi="仿宋_GB2312" w:cs="仿宋_GB2312"/>
          <w:szCs w:val="32"/>
        </w:rPr>
        <w:t>4.投标人须在“三包”范围内无偿提供该货物的技术支持。</w:t>
      </w:r>
    </w:p>
    <w:p>
      <w:pPr>
        <w:tabs>
          <w:tab w:val="left" w:pos="840"/>
          <w:tab w:val="left" w:pos="1080"/>
        </w:tabs>
        <w:autoSpaceDE w:val="0"/>
        <w:autoSpaceDN w:val="0"/>
        <w:adjustRightInd w:val="0"/>
        <w:spacing w:line="579" w:lineRule="exact"/>
        <w:ind w:firstLine="640" w:firstLineChars="200"/>
        <w:outlineLvl w:val="3"/>
      </w:pPr>
      <w:r>
        <w:rPr>
          <w:rFonts w:hint="eastAsia" w:ascii="仿宋_GB2312" w:hAnsi="仿宋_GB2312" w:cs="仿宋_GB2312"/>
          <w:szCs w:val="32"/>
        </w:rPr>
        <w:t>5.投标人在质保期内定期上门进行维修保养，并提供维修保养计划实施方案。</w:t>
      </w:r>
    </w:p>
    <w:p>
      <w:pPr>
        <w:spacing w:line="579" w:lineRule="exact"/>
        <w:ind w:right="640"/>
        <w:jc w:val="center"/>
        <w:rPr>
          <w:rFonts w:ascii="仿宋_GB2312" w:hAnsi="仿宋" w:cs="仿宋"/>
          <w:szCs w:val="32"/>
        </w:rPr>
      </w:pPr>
      <w:r>
        <w:rPr>
          <w:rFonts w:hint="eastAsia" w:ascii="仿宋_GB2312" w:hAnsi="仿宋" w:cs="仿宋"/>
          <w:snapToGrid w:val="0"/>
          <w:kern w:val="0"/>
          <w:szCs w:val="32"/>
        </w:rPr>
        <w:t xml:space="preserve">   </w:t>
      </w:r>
    </w:p>
    <w:p>
      <w:pPr>
        <w:spacing w:line="579" w:lineRule="exact"/>
        <w:ind w:firstLine="640" w:firstLineChars="200"/>
        <w:rPr>
          <w:rFonts w:ascii="仿宋_GB2312" w:hAnsi="仿宋"/>
          <w:color w:val="000000"/>
          <w:szCs w:val="32"/>
        </w:rPr>
      </w:pPr>
      <w:r>
        <w:rPr>
          <w:rFonts w:hint="eastAsia" w:ascii="仿宋_GB2312" w:hAnsi="仿宋"/>
          <w:color w:val="000000"/>
          <w:szCs w:val="32"/>
        </w:rPr>
        <w:t xml:space="preserve"> </w:t>
      </w:r>
    </w:p>
    <w:p>
      <w:pPr>
        <w:spacing w:line="579" w:lineRule="exact"/>
        <w:ind w:firstLine="640" w:firstLineChars="200"/>
        <w:rPr>
          <w:rFonts w:ascii="仿宋_GB2312" w:hAnsi="仿宋"/>
          <w:color w:val="000000"/>
          <w:szCs w:val="32"/>
        </w:rPr>
      </w:pPr>
    </w:p>
    <w:p>
      <w:pPr>
        <w:spacing w:line="579" w:lineRule="exact"/>
        <w:ind w:firstLine="640" w:firstLineChars="200"/>
        <w:rPr>
          <w:rFonts w:ascii="仿宋_GB2312" w:hAnsi="仿宋"/>
          <w:color w:val="000000"/>
          <w:szCs w:val="32"/>
        </w:rPr>
      </w:pPr>
    </w:p>
    <w:sectPr>
      <w:footerReference r:id="rId4" w:type="first"/>
      <w:footerReference r:id="rId3" w:type="default"/>
      <w:pgSz w:w="16838" w:h="11906" w:orient="landscape"/>
      <w:pgMar w:top="1588" w:right="2098" w:bottom="1474" w:left="1985" w:header="709" w:footer="992" w:gutter="0"/>
      <w:pgNumType w:fmt="numberInDash"/>
      <w:cols w:space="720" w:num="1"/>
      <w:titlePg/>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A87" w:usb1="00000000" w:usb2="00000000" w:usb3="00000000" w:csb0="400001BF" w:csb1="DFF7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7 -</w:t>
    </w:r>
    <w:r>
      <w:rPr>
        <w:rFonts w:ascii="宋体" w:hAnsi="宋体"/>
        <w:sz w:val="28"/>
        <w:szCs w:val="28"/>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ascii="宋体" w:hAnsi="宋体"/>
        <w:sz w:val="28"/>
        <w:szCs w:val="28"/>
      </w:rPr>
    </w:pPr>
    <w:r>
      <w:rPr>
        <w:color w:val="FFFFFF"/>
      </w:rPr>
      <w:fldChar w:fldCharType="begin"/>
    </w:r>
    <w:r>
      <w:rPr>
        <w:color w:val="FFFFFF"/>
      </w:rPr>
      <w:instrText xml:space="preserve">PAGE   \* MERGEFORMAT</w:instrText>
    </w:r>
    <w:r>
      <w:rPr>
        <w:color w:val="FFFFFF"/>
      </w:rPr>
      <w:fldChar w:fldCharType="separate"/>
    </w:r>
    <w:r>
      <w:rPr>
        <w:color w:val="FFFFFF"/>
      </w:rPr>
      <w:t>- 1 -</w:t>
    </w:r>
    <w:r>
      <w:rPr>
        <w:color w:val="FFFFFF"/>
      </w:rPr>
      <w:fldChar w:fldCharType="end"/>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p>
    <w:pPr>
      <w:pStyle w:val="4"/>
      <w:rPr>
        <w:color w:val="FFFFFF"/>
      </w:rPr>
    </w:pPr>
  </w:p>
  <w:p>
    <w:pPr>
      <w:pStyle w:val="4"/>
      <w:tabs>
        <w:tab w:val="left" w:pos="7725"/>
        <w:tab w:val="clear" w:pos="4153"/>
        <w:tab w:val="clear" w:pos="8306"/>
      </w:tabs>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9475C8"/>
    <w:multiLevelType w:val="singleLevel"/>
    <w:tmpl w:val="239475C8"/>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58"/>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301"/>
    <w:rsid w:val="00005301"/>
    <w:rsid w:val="00026D9E"/>
    <w:rsid w:val="00077DFB"/>
    <w:rsid w:val="001406AC"/>
    <w:rsid w:val="00153171"/>
    <w:rsid w:val="001D3CB6"/>
    <w:rsid w:val="00226222"/>
    <w:rsid w:val="00290A47"/>
    <w:rsid w:val="002B7F1B"/>
    <w:rsid w:val="0031729E"/>
    <w:rsid w:val="00331255"/>
    <w:rsid w:val="003362B3"/>
    <w:rsid w:val="003739F5"/>
    <w:rsid w:val="003A7009"/>
    <w:rsid w:val="00403BBD"/>
    <w:rsid w:val="00441181"/>
    <w:rsid w:val="0049764F"/>
    <w:rsid w:val="004C194D"/>
    <w:rsid w:val="004E3D79"/>
    <w:rsid w:val="0054253E"/>
    <w:rsid w:val="005838A5"/>
    <w:rsid w:val="005F7953"/>
    <w:rsid w:val="00611DA4"/>
    <w:rsid w:val="00683D47"/>
    <w:rsid w:val="007320AA"/>
    <w:rsid w:val="007A5C4C"/>
    <w:rsid w:val="007A6672"/>
    <w:rsid w:val="007C0CB4"/>
    <w:rsid w:val="007C4D05"/>
    <w:rsid w:val="007C5428"/>
    <w:rsid w:val="007F330F"/>
    <w:rsid w:val="00870BFC"/>
    <w:rsid w:val="008C533F"/>
    <w:rsid w:val="008E1EB5"/>
    <w:rsid w:val="009878B9"/>
    <w:rsid w:val="00A038EF"/>
    <w:rsid w:val="00A74FD4"/>
    <w:rsid w:val="00A94802"/>
    <w:rsid w:val="00B053E5"/>
    <w:rsid w:val="00B25665"/>
    <w:rsid w:val="00CD0173"/>
    <w:rsid w:val="00D202FF"/>
    <w:rsid w:val="00D405DC"/>
    <w:rsid w:val="00D53BB8"/>
    <w:rsid w:val="00E6380F"/>
    <w:rsid w:val="00E75B1B"/>
    <w:rsid w:val="00E77106"/>
    <w:rsid w:val="00F34FEB"/>
    <w:rsid w:val="00F54C80"/>
    <w:rsid w:val="037D2B7B"/>
    <w:rsid w:val="0C08046C"/>
    <w:rsid w:val="0C507CAA"/>
    <w:rsid w:val="0D0D7A7E"/>
    <w:rsid w:val="13583AC7"/>
    <w:rsid w:val="14133B44"/>
    <w:rsid w:val="2A7660B5"/>
    <w:rsid w:val="32405672"/>
    <w:rsid w:val="34BB2DC4"/>
    <w:rsid w:val="3BDF5C12"/>
    <w:rsid w:val="431119A4"/>
    <w:rsid w:val="4A8A3B79"/>
    <w:rsid w:val="4AF45DD3"/>
    <w:rsid w:val="4ED9668C"/>
    <w:rsid w:val="55D20DE3"/>
    <w:rsid w:val="578C0B33"/>
    <w:rsid w:val="57CC4C2D"/>
    <w:rsid w:val="5C0504D5"/>
    <w:rsid w:val="6D746795"/>
    <w:rsid w:val="71653491"/>
    <w:rsid w:val="7EEC75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rPr>
      <w:sz w:val="21"/>
    </w:rPr>
  </w:style>
  <w:style w:type="paragraph" w:styleId="3">
    <w:name w:val="Body Text Indent"/>
    <w:basedOn w:val="1"/>
    <w:link w:val="12"/>
    <w:semiHidden/>
    <w:unhideWhenUsed/>
    <w:qFormat/>
    <w:uiPriority w:val="0"/>
    <w:pPr>
      <w:adjustRightInd w:val="0"/>
      <w:snapToGrid w:val="0"/>
      <w:spacing w:line="560" w:lineRule="exact"/>
      <w:ind w:firstLine="641"/>
    </w:pPr>
    <w:rPr>
      <w:rFonts w:ascii="仿宋_GB2312"/>
      <w:kern w:val="0"/>
      <w:sz w:val="30"/>
      <w:szCs w:val="20"/>
    </w:rPr>
  </w:style>
  <w:style w:type="paragraph" w:styleId="4">
    <w:name w:val="footer"/>
    <w:basedOn w:val="1"/>
    <w:link w:val="10"/>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rPr>
      <w:sz w:val="24"/>
    </w:rPr>
  </w:style>
  <w:style w:type="character" w:styleId="9">
    <w:name w:val="page number"/>
    <w:basedOn w:val="8"/>
    <w:semiHidden/>
    <w:unhideWhenUsed/>
    <w:qFormat/>
    <w:uiPriority w:val="0"/>
  </w:style>
  <w:style w:type="character" w:customStyle="1" w:styleId="10">
    <w:name w:val="页脚 Char2"/>
    <w:link w:val="4"/>
    <w:qFormat/>
    <w:uiPriority w:val="99"/>
    <w:rPr>
      <w:sz w:val="18"/>
      <w:szCs w:val="18"/>
    </w:rPr>
  </w:style>
  <w:style w:type="character" w:customStyle="1" w:styleId="11">
    <w:name w:val="页脚 Char"/>
    <w:basedOn w:val="8"/>
    <w:semiHidden/>
    <w:qFormat/>
    <w:uiPriority w:val="99"/>
    <w:rPr>
      <w:rFonts w:ascii="Times New Roman" w:hAnsi="Times New Roman" w:eastAsia="仿宋_GB2312" w:cs="Times New Roman"/>
      <w:sz w:val="18"/>
      <w:szCs w:val="18"/>
    </w:rPr>
  </w:style>
  <w:style w:type="character" w:customStyle="1" w:styleId="12">
    <w:name w:val="正文文本缩进 Char"/>
    <w:basedOn w:val="8"/>
    <w:link w:val="3"/>
    <w:semiHidden/>
    <w:qFormat/>
    <w:uiPriority w:val="0"/>
    <w:rPr>
      <w:rFonts w:ascii="仿宋_GB2312" w:hAnsi="Times New Roman" w:eastAsia="仿宋_GB2312" w:cs="Times New Roman"/>
      <w:kern w:val="0"/>
      <w:sz w:val="30"/>
      <w:szCs w:val="20"/>
    </w:rPr>
  </w:style>
  <w:style w:type="character" w:customStyle="1" w:styleId="13">
    <w:name w:val="页脚 Char1"/>
    <w:basedOn w:val="8"/>
    <w:semiHidden/>
    <w:qFormat/>
    <w:locked/>
    <w:uiPriority w:val="99"/>
    <w:rPr>
      <w:rFonts w:ascii="Times New Roman" w:hAnsi="Times New Roman" w:eastAsia="宋体" w:cs="Times New Roman"/>
      <w:sz w:val="18"/>
      <w:szCs w:val="18"/>
    </w:rPr>
  </w:style>
  <w:style w:type="character" w:customStyle="1" w:styleId="14">
    <w:name w:val="页眉 Char"/>
    <w:basedOn w:val="8"/>
    <w:link w:val="5"/>
    <w:qFormat/>
    <w:uiPriority w:val="99"/>
    <w:rPr>
      <w:rFonts w:ascii="Times New Roman" w:hAnsi="Times New Roman" w:eastAsia="仿宋_GB2312" w:cs="Times New Roman"/>
      <w:sz w:val="18"/>
      <w:szCs w:val="18"/>
    </w:rPr>
  </w:style>
  <w:style w:type="paragraph" w:styleId="15">
    <w:name w:val="List Paragraph"/>
    <w:basedOn w:val="1"/>
    <w:qFormat/>
    <w:uiPriority w:val="34"/>
    <w:pPr>
      <w:ind w:firstLine="420" w:firstLineChars="200"/>
    </w:pPr>
  </w:style>
  <w:style w:type="character" w:customStyle="1" w:styleId="16">
    <w:name w:val="仿宋三号 字符"/>
    <w:link w:val="17"/>
    <w:semiHidden/>
    <w:qFormat/>
    <w:locked/>
    <w:uiPriority w:val="0"/>
    <w:rPr>
      <w:rFonts w:ascii="Times New Roman" w:hAnsi="Times New Roman" w:eastAsia="仿宋" w:cs="Times New Roman"/>
      <w:color w:val="000000"/>
      <w:sz w:val="32"/>
      <w:szCs w:val="32"/>
      <w:lang w:val="zh-CN"/>
    </w:rPr>
  </w:style>
  <w:style w:type="paragraph" w:customStyle="1" w:styleId="17">
    <w:name w:val="仿宋三号"/>
    <w:basedOn w:val="6"/>
    <w:link w:val="16"/>
    <w:semiHidden/>
    <w:qFormat/>
    <w:uiPriority w:val="0"/>
    <w:pPr>
      <w:snapToGrid w:val="0"/>
      <w:spacing w:line="360" w:lineRule="auto"/>
      <w:ind w:firstLine="200" w:firstLineChars="200"/>
    </w:pPr>
    <w:rPr>
      <w:rFonts w:eastAsia="仿宋"/>
      <w:color w:val="000000"/>
      <w:sz w:val="32"/>
      <w:szCs w:val="32"/>
      <w:lang w:val="zh-CN"/>
    </w:rPr>
  </w:style>
  <w:style w:type="paragraph" w:customStyle="1" w:styleId="18">
    <w:name w:val="列出段落2"/>
    <w:basedOn w:val="1"/>
    <w:qFormat/>
    <w:uiPriority w:val="99"/>
    <w:pPr>
      <w:widowControl/>
      <w:ind w:left="720" w:firstLine="360"/>
      <w:jc w:val="left"/>
    </w:pPr>
    <w:rPr>
      <w:rFonts w:ascii="Calibri" w:hAnsi="Calibri" w:eastAsia="宋体"/>
      <w:kern w:val="0"/>
      <w:sz w:val="22"/>
      <w:szCs w:val="20"/>
      <w:lang w:eastAsia="en-US"/>
    </w:rPr>
  </w:style>
  <w:style w:type="character" w:customStyle="1" w:styleId="19">
    <w:name w:val="font41"/>
    <w:basedOn w:val="8"/>
    <w:uiPriority w:val="0"/>
    <w:rPr>
      <w:rFonts w:hint="eastAsia" w:ascii="宋体" w:hAnsi="宋体" w:eastAsia="宋体" w:cs="宋体"/>
      <w:color w:val="000000"/>
      <w:sz w:val="22"/>
      <w:szCs w:val="22"/>
      <w:u w:val="none"/>
    </w:rPr>
  </w:style>
  <w:style w:type="character" w:customStyle="1" w:styleId="20">
    <w:name w:val="font31"/>
    <w:basedOn w:val="8"/>
    <w:uiPriority w:val="0"/>
    <w:rPr>
      <w:rFonts w:hint="eastAsia" w:ascii="宋体" w:hAnsi="宋体" w:eastAsia="宋体" w:cs="宋体"/>
      <w:color w:val="000000"/>
      <w:sz w:val="22"/>
      <w:szCs w:val="22"/>
      <w:u w:val="none"/>
    </w:rPr>
  </w:style>
  <w:style w:type="character" w:customStyle="1" w:styleId="21">
    <w:name w:val="font01"/>
    <w:basedOn w:val="8"/>
    <w:uiPriority w:val="0"/>
    <w:rPr>
      <w:rFonts w:hint="eastAsia"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533</Words>
  <Characters>3039</Characters>
  <Lines>25</Lines>
  <Paragraphs>7</Paragraphs>
  <TotalTime>7</TotalTime>
  <ScaleCrop>false</ScaleCrop>
  <LinksUpToDate>false</LinksUpToDate>
  <CharactersWithSpaces>3565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2024-07-05T11:10:00Z</dcterms:created>
  <dc:creator>temp</dc:creator>
  <cp:lastModifiedBy>Administrator</cp:lastModifiedBy>
  <cp:lastPrinted>2024-07-08T00:01:00Z</cp:lastPrinted>
  <dcterms:modified xsi:type="dcterms:W3CDTF">2024-07-23T00:58:25Z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